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方正小标宋_GBK" w:hAnsi="方正小标宋_GBK" w:eastAsia="方正小标宋_GBK" w:cs="方正小标宋_GBK"/>
          <w:b/>
          <w:i w:val="0"/>
          <w:caps w:val="0"/>
          <w:color w:val="4B4B4B"/>
          <w:spacing w:val="0"/>
          <w:sz w:val="44"/>
          <w:szCs w:val="44"/>
          <w:bdr w:val="none" w:color="auto" w:sz="0" w:space="0"/>
          <w:shd w:val="clear" w:fill="FFFFFF"/>
        </w:rPr>
      </w:pPr>
      <w:r>
        <w:rPr>
          <w:rFonts w:hint="eastAsia" w:ascii="方正小标宋_GBK" w:hAnsi="方正小标宋_GBK" w:eastAsia="方正小标宋_GBK" w:cs="方正小标宋_GBK"/>
          <w:b/>
          <w:i w:val="0"/>
          <w:caps w:val="0"/>
          <w:color w:val="4B4B4B"/>
          <w:spacing w:val="0"/>
          <w:sz w:val="44"/>
          <w:szCs w:val="44"/>
          <w:bdr w:val="none" w:color="auto" w:sz="0" w:space="0"/>
          <w:shd w:val="clear" w:fill="FFFFFF"/>
        </w:rPr>
        <w:t>教育部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微软雅黑" w:hAnsi="微软雅黑" w:eastAsia="微软雅黑" w:cs="微软雅黑"/>
          <w:b/>
          <w:color w:val="4B4B4B"/>
          <w:sz w:val="30"/>
          <w:szCs w:val="30"/>
        </w:rPr>
      </w:pPr>
      <w:bookmarkStart w:id="0" w:name="_GoBack"/>
      <w:r>
        <w:rPr>
          <w:rFonts w:hint="eastAsia" w:ascii="方正小标宋_GBK" w:hAnsi="方正小标宋_GBK" w:eastAsia="方正小标宋_GBK" w:cs="方正小标宋_GBK"/>
          <w:b/>
          <w:i w:val="0"/>
          <w:caps w:val="0"/>
          <w:color w:val="4B4B4B"/>
          <w:spacing w:val="0"/>
          <w:sz w:val="44"/>
          <w:szCs w:val="44"/>
          <w:bdr w:val="none" w:color="auto" w:sz="0" w:space="0"/>
          <w:shd w:val="clear" w:fill="FFFFFF"/>
        </w:rPr>
        <w:t>关于进一步规范高校科研行为的意见</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right"/>
        <w:rPr>
          <w:rFonts w:hint="eastAsia" w:ascii="仿宋_GB2312" w:hAnsi="仿宋_GB2312" w:eastAsia="仿宋_GB2312" w:cs="仿宋_GB2312"/>
          <w:color w:val="4B4B4B"/>
          <w:sz w:val="28"/>
          <w:szCs w:val="28"/>
        </w:rPr>
      </w:pPr>
      <w:r>
        <w:rPr>
          <w:rFonts w:hint="eastAsia" w:ascii="仿宋_GB2312" w:hAnsi="仿宋_GB2312" w:eastAsia="仿宋_GB2312" w:cs="仿宋_GB2312"/>
          <w:i w:val="0"/>
          <w:caps w:val="0"/>
          <w:color w:val="4B4B4B"/>
          <w:spacing w:val="0"/>
          <w:sz w:val="28"/>
          <w:szCs w:val="28"/>
          <w:bdr w:val="none" w:color="auto" w:sz="0" w:space="0"/>
          <w:shd w:val="clear" w:fill="FFFFFF"/>
        </w:rPr>
        <w:t>教监〔2012〕6号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仿宋_GB2312" w:hAnsi="仿宋_GB2312" w:eastAsia="仿宋_GB2312" w:cs="仿宋_GB2312"/>
          <w:i w:val="0"/>
          <w:caps w:val="0"/>
          <w:color w:val="4B4B4B"/>
          <w:spacing w:val="0"/>
          <w:sz w:val="28"/>
          <w:szCs w:val="28"/>
        </w:rPr>
      </w:pPr>
      <w:r>
        <w:rPr>
          <w:rFonts w:hint="eastAsia" w:ascii="仿宋_GB2312" w:hAnsi="仿宋_GB2312" w:eastAsia="仿宋_GB2312" w:cs="仿宋_GB2312"/>
          <w:i w:val="0"/>
          <w:caps w:val="0"/>
          <w:color w:val="4B4B4B"/>
          <w:spacing w:val="0"/>
          <w:sz w:val="28"/>
          <w:szCs w:val="28"/>
          <w:bdr w:val="none" w:color="auto" w:sz="0" w:space="0"/>
          <w:shd w:val="clear" w:fill="FFFFFF"/>
        </w:rPr>
        <w:t>省、自治区、直辖市教育厅（教委）、新疆生产建设兵团教育局，有关部门（单位）教育司（局），部属各高等学校：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仿宋_GB2312" w:hAnsi="仿宋_GB2312" w:eastAsia="仿宋_GB2312" w:cs="仿宋_GB2312"/>
          <w:i w:val="0"/>
          <w:caps w:val="0"/>
          <w:color w:val="4B4B4B"/>
          <w:spacing w:val="0"/>
          <w:sz w:val="28"/>
          <w:szCs w:val="28"/>
        </w:rPr>
      </w:pPr>
      <w:r>
        <w:rPr>
          <w:rFonts w:hint="eastAsia" w:ascii="仿宋_GB2312" w:hAnsi="仿宋_GB2312" w:eastAsia="仿宋_GB2312" w:cs="仿宋_GB2312"/>
          <w:i w:val="0"/>
          <w:caps w:val="0"/>
          <w:color w:val="4B4B4B"/>
          <w:spacing w:val="0"/>
          <w:sz w:val="28"/>
          <w:szCs w:val="28"/>
          <w:bdr w:val="none" w:color="auto" w:sz="0" w:space="0"/>
          <w:shd w:val="clear" w:fill="FFFFFF"/>
        </w:rPr>
        <w:t>　　为全面落实科教兴国和人才强国战略，调动和保护高校和科研人员的积极性创造性，维护高校科学研究秩序，营造良好科研氛围，增强高校科研能力，促进教育科技事业科学发展、健康发展，现就规范高校科研行为提出如下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仿宋_GB2312" w:hAnsi="仿宋_GB2312" w:eastAsia="仿宋_GB2312" w:cs="仿宋_GB2312"/>
          <w:i w:val="0"/>
          <w:caps w:val="0"/>
          <w:color w:val="4B4B4B"/>
          <w:spacing w:val="0"/>
          <w:sz w:val="28"/>
          <w:szCs w:val="28"/>
        </w:rPr>
      </w:pPr>
      <w:r>
        <w:rPr>
          <w:rFonts w:hint="eastAsia" w:ascii="仿宋_GB2312" w:hAnsi="仿宋_GB2312" w:eastAsia="仿宋_GB2312" w:cs="仿宋_GB2312"/>
          <w:i w:val="0"/>
          <w:caps w:val="0"/>
          <w:color w:val="4B4B4B"/>
          <w:spacing w:val="0"/>
          <w:sz w:val="28"/>
          <w:szCs w:val="28"/>
          <w:bdr w:val="none" w:color="auto" w:sz="0" w:space="0"/>
          <w:shd w:val="clear" w:fill="FFFFFF"/>
        </w:rPr>
        <w:t>　　</w:t>
      </w:r>
      <w:r>
        <w:rPr>
          <w:rStyle w:val="6"/>
          <w:rFonts w:hint="eastAsia" w:ascii="仿宋_GB2312" w:hAnsi="仿宋_GB2312" w:eastAsia="仿宋_GB2312" w:cs="仿宋_GB2312"/>
          <w:i w:val="0"/>
          <w:caps w:val="0"/>
          <w:color w:val="4B4B4B"/>
          <w:spacing w:val="0"/>
          <w:sz w:val="28"/>
          <w:szCs w:val="28"/>
          <w:bdr w:val="none" w:color="auto" w:sz="0" w:space="0"/>
          <w:shd w:val="clear" w:fill="FFFFFF"/>
        </w:rPr>
        <w:t>一、规范高校科研行为的总体要求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仿宋_GB2312" w:hAnsi="仿宋_GB2312" w:eastAsia="仿宋_GB2312" w:cs="仿宋_GB2312"/>
          <w:i w:val="0"/>
          <w:caps w:val="0"/>
          <w:color w:val="4B4B4B"/>
          <w:spacing w:val="0"/>
          <w:sz w:val="28"/>
          <w:szCs w:val="28"/>
        </w:rPr>
      </w:pPr>
      <w:r>
        <w:rPr>
          <w:rFonts w:hint="eastAsia" w:ascii="仿宋_GB2312" w:hAnsi="仿宋_GB2312" w:eastAsia="仿宋_GB2312" w:cs="仿宋_GB2312"/>
          <w:i w:val="0"/>
          <w:caps w:val="0"/>
          <w:color w:val="4B4B4B"/>
          <w:spacing w:val="0"/>
          <w:sz w:val="28"/>
          <w:szCs w:val="28"/>
          <w:bdr w:val="none" w:color="auto" w:sz="0" w:space="0"/>
          <w:shd w:val="clear" w:fill="FFFFFF"/>
        </w:rPr>
        <w:t>　　1．科学研究是高校的重要职能，科研人员是高校科学发展的重要资源。长期以来，高校科研人员牢记科教兴国和人才强国使命，立足岗位、敬业奉献，为创新型国家建设和高校人才培养、科学研究、社会服务、文化传承创新作出重要贡献。新的历史条件下，大力推动科技创新驱动发展、全面提高高等教育质量，对高校科学研究提出新的更高要求。当前，在高校科研活动中学术失范行为较为严重，贪污、挪用科研经费案件时有发生。进一步规范高校科研行为，维护科研秩序，是一项紧迫任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仿宋_GB2312" w:hAnsi="仿宋_GB2312" w:eastAsia="仿宋_GB2312" w:cs="仿宋_GB2312"/>
          <w:i w:val="0"/>
          <w:caps w:val="0"/>
          <w:color w:val="4B4B4B"/>
          <w:spacing w:val="0"/>
          <w:sz w:val="28"/>
          <w:szCs w:val="28"/>
        </w:rPr>
      </w:pPr>
      <w:r>
        <w:rPr>
          <w:rFonts w:hint="eastAsia" w:ascii="仿宋_GB2312" w:hAnsi="仿宋_GB2312" w:eastAsia="仿宋_GB2312" w:cs="仿宋_GB2312"/>
          <w:i w:val="0"/>
          <w:caps w:val="0"/>
          <w:color w:val="4B4B4B"/>
          <w:spacing w:val="0"/>
          <w:sz w:val="28"/>
          <w:szCs w:val="28"/>
          <w:bdr w:val="none" w:color="auto" w:sz="0" w:space="0"/>
          <w:shd w:val="clear" w:fill="FFFFFF"/>
        </w:rPr>
        <w:t>　　2．规范高校科研行为的总体工作要求是：坚持教育引导、制度规范、监督约束并重的原则，坚持标本兼治、综合治理、惩防并举、注重预防的方针，坚持管理与服务相结合、自律与他律相结合、严格规范科研行为与保护科研人员积极性创造性相结合，切实加强科研行为管理，促进科研人员廉洁从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仿宋_GB2312" w:hAnsi="仿宋_GB2312" w:eastAsia="仿宋_GB2312" w:cs="仿宋_GB2312"/>
          <w:i w:val="0"/>
          <w:caps w:val="0"/>
          <w:color w:val="4B4B4B"/>
          <w:spacing w:val="0"/>
          <w:sz w:val="28"/>
          <w:szCs w:val="28"/>
        </w:rPr>
      </w:pPr>
      <w:r>
        <w:rPr>
          <w:rFonts w:hint="eastAsia" w:ascii="仿宋_GB2312" w:hAnsi="仿宋_GB2312" w:eastAsia="仿宋_GB2312" w:cs="仿宋_GB2312"/>
          <w:i w:val="0"/>
          <w:caps w:val="0"/>
          <w:color w:val="4B4B4B"/>
          <w:spacing w:val="0"/>
          <w:sz w:val="28"/>
          <w:szCs w:val="28"/>
          <w:bdr w:val="none" w:color="auto" w:sz="0" w:space="0"/>
          <w:shd w:val="clear" w:fill="FFFFFF"/>
        </w:rPr>
        <w:t>　　3．高校科研人员开展科研活动的总体要求是：自觉践行社会主义核心价值观，严格遵守国家宪法和法律法规；模范遵循学术规范和科学伦理，坚决抵制学术失范和学术不端行为；大力弘扬科学研究精神，不断增强科技创新能力；严格遵守师德规范，牢固树立服务意识，主动服务经济社会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仿宋_GB2312" w:hAnsi="仿宋_GB2312" w:eastAsia="仿宋_GB2312" w:cs="仿宋_GB2312"/>
          <w:i w:val="0"/>
          <w:caps w:val="0"/>
          <w:color w:val="4B4B4B"/>
          <w:spacing w:val="0"/>
          <w:sz w:val="28"/>
          <w:szCs w:val="28"/>
        </w:rPr>
      </w:pPr>
      <w:r>
        <w:rPr>
          <w:rFonts w:hint="eastAsia" w:ascii="仿宋_GB2312" w:hAnsi="仿宋_GB2312" w:eastAsia="仿宋_GB2312" w:cs="仿宋_GB2312"/>
          <w:i w:val="0"/>
          <w:caps w:val="0"/>
          <w:color w:val="4B4B4B"/>
          <w:spacing w:val="0"/>
          <w:sz w:val="28"/>
          <w:szCs w:val="28"/>
          <w:bdr w:val="none" w:color="auto" w:sz="0" w:space="0"/>
          <w:shd w:val="clear" w:fill="FFFFFF"/>
        </w:rPr>
        <w:t>　　</w:t>
      </w:r>
      <w:r>
        <w:rPr>
          <w:rStyle w:val="6"/>
          <w:rFonts w:hint="eastAsia" w:ascii="仿宋_GB2312" w:hAnsi="仿宋_GB2312" w:eastAsia="仿宋_GB2312" w:cs="仿宋_GB2312"/>
          <w:i w:val="0"/>
          <w:caps w:val="0"/>
          <w:color w:val="4B4B4B"/>
          <w:spacing w:val="0"/>
          <w:sz w:val="28"/>
          <w:szCs w:val="28"/>
          <w:bdr w:val="none" w:color="auto" w:sz="0" w:space="0"/>
          <w:shd w:val="clear" w:fill="FFFFFF"/>
        </w:rPr>
        <w:t>二、高校科研行为规范的具体内容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仿宋_GB2312" w:hAnsi="仿宋_GB2312" w:eastAsia="仿宋_GB2312" w:cs="仿宋_GB2312"/>
          <w:i w:val="0"/>
          <w:caps w:val="0"/>
          <w:color w:val="4B4B4B"/>
          <w:spacing w:val="0"/>
          <w:sz w:val="28"/>
          <w:szCs w:val="28"/>
        </w:rPr>
      </w:pPr>
      <w:r>
        <w:rPr>
          <w:rFonts w:hint="eastAsia" w:ascii="仿宋_GB2312" w:hAnsi="仿宋_GB2312" w:eastAsia="仿宋_GB2312" w:cs="仿宋_GB2312"/>
          <w:i w:val="0"/>
          <w:caps w:val="0"/>
          <w:color w:val="4B4B4B"/>
          <w:spacing w:val="0"/>
          <w:sz w:val="28"/>
          <w:szCs w:val="28"/>
          <w:bdr w:val="none" w:color="auto" w:sz="0" w:space="0"/>
          <w:shd w:val="clear" w:fill="FFFFFF"/>
        </w:rPr>
        <w:t>　　4．科研人员申报项目，要坚持实事求是，充分考虑自身研究力量，加强可行性论证，对申报项目的工作基础、研究现状、人员组成等作真实陈述，保证申报项目材料的真实可信。不得隐瞒与项目协作单位以及参与人员的利益关系。不得以任何方式干扰影响项目评审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仿宋_GB2312" w:hAnsi="仿宋_GB2312" w:eastAsia="仿宋_GB2312" w:cs="仿宋_GB2312"/>
          <w:i w:val="0"/>
          <w:caps w:val="0"/>
          <w:color w:val="4B4B4B"/>
          <w:spacing w:val="0"/>
          <w:sz w:val="28"/>
          <w:szCs w:val="28"/>
        </w:rPr>
      </w:pPr>
      <w:r>
        <w:rPr>
          <w:rFonts w:hint="eastAsia" w:ascii="仿宋_GB2312" w:hAnsi="仿宋_GB2312" w:eastAsia="仿宋_GB2312" w:cs="仿宋_GB2312"/>
          <w:i w:val="0"/>
          <w:caps w:val="0"/>
          <w:color w:val="4B4B4B"/>
          <w:spacing w:val="0"/>
          <w:sz w:val="28"/>
          <w:szCs w:val="28"/>
          <w:bdr w:val="none" w:color="auto" w:sz="0" w:space="0"/>
          <w:shd w:val="clear" w:fill="FFFFFF"/>
        </w:rPr>
        <w:t>　　5．科研人员要在学校指导协助下，按照目标相关性、政策相符性和经济合理性原则，科学、合理、真实地编制科研经费预算，增强预算的前瞻性和可操作性。不得以编造虚假合同、虚列支出项目等手段编报虚假预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仿宋_GB2312" w:hAnsi="仿宋_GB2312" w:eastAsia="仿宋_GB2312" w:cs="仿宋_GB2312"/>
          <w:i w:val="0"/>
          <w:caps w:val="0"/>
          <w:color w:val="4B4B4B"/>
          <w:spacing w:val="0"/>
          <w:sz w:val="28"/>
          <w:szCs w:val="28"/>
        </w:rPr>
      </w:pPr>
      <w:r>
        <w:rPr>
          <w:rFonts w:hint="eastAsia" w:ascii="仿宋_GB2312" w:hAnsi="仿宋_GB2312" w:eastAsia="仿宋_GB2312" w:cs="仿宋_GB2312"/>
          <w:i w:val="0"/>
          <w:caps w:val="0"/>
          <w:color w:val="4B4B4B"/>
          <w:spacing w:val="0"/>
          <w:sz w:val="28"/>
          <w:szCs w:val="28"/>
          <w:bdr w:val="none" w:color="auto" w:sz="0" w:space="0"/>
          <w:shd w:val="clear" w:fill="FFFFFF"/>
        </w:rPr>
        <w:t>　　6．科研人员要严格按照项目合同（任务书）的预期目标和要求，认真完成各项研究任务，严格执行国家保密法规。不得随意变更项目承担单位、项目负责人、研究目标、研究内容、研究进度和执行期、主要研究人员。不得违反规定将科研任务外包、转包他人，利用科研项目为特定关系人谋取私利。不得泄露国家秘密、商业秘密和个人隐私，确保科研项目安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仿宋_GB2312" w:hAnsi="仿宋_GB2312" w:eastAsia="仿宋_GB2312" w:cs="仿宋_GB2312"/>
          <w:i w:val="0"/>
          <w:caps w:val="0"/>
          <w:color w:val="4B4B4B"/>
          <w:spacing w:val="0"/>
          <w:sz w:val="28"/>
          <w:szCs w:val="28"/>
        </w:rPr>
      </w:pPr>
      <w:r>
        <w:rPr>
          <w:rFonts w:hint="eastAsia" w:ascii="仿宋_GB2312" w:hAnsi="仿宋_GB2312" w:eastAsia="仿宋_GB2312" w:cs="仿宋_GB2312"/>
          <w:i w:val="0"/>
          <w:caps w:val="0"/>
          <w:color w:val="4B4B4B"/>
          <w:spacing w:val="0"/>
          <w:sz w:val="28"/>
          <w:szCs w:val="28"/>
          <w:bdr w:val="none" w:color="auto" w:sz="0" w:space="0"/>
          <w:shd w:val="clear" w:fill="FFFFFF"/>
        </w:rPr>
        <w:t>　　7．科研人员要有高度的社会责任感，坚持实事求是的科学精神和严谨认真的治学态度。不得从事危害国家安全、损害社会公共利益、危害人体健康、违反伦理道德等方面的研究。不得抄袭、剽窃、侵占他人研究成果，伪造、篡改科研数据文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仿宋_GB2312" w:hAnsi="仿宋_GB2312" w:eastAsia="仿宋_GB2312" w:cs="仿宋_GB2312"/>
          <w:i w:val="0"/>
          <w:caps w:val="0"/>
          <w:color w:val="4B4B4B"/>
          <w:spacing w:val="0"/>
          <w:sz w:val="28"/>
          <w:szCs w:val="28"/>
        </w:rPr>
      </w:pPr>
      <w:r>
        <w:rPr>
          <w:rFonts w:hint="eastAsia" w:ascii="仿宋_GB2312" w:hAnsi="仿宋_GB2312" w:eastAsia="仿宋_GB2312" w:cs="仿宋_GB2312"/>
          <w:i w:val="0"/>
          <w:caps w:val="0"/>
          <w:color w:val="4B4B4B"/>
          <w:spacing w:val="0"/>
          <w:sz w:val="28"/>
          <w:szCs w:val="28"/>
          <w:bdr w:val="none" w:color="auto" w:sz="0" w:space="0"/>
          <w:shd w:val="clear" w:fill="FFFFFF"/>
        </w:rPr>
        <w:t>　　8．科研人员要严格遵守财经法律法规，坚持科研经费统一管理原则，按照预算批复的支出范围和标准使用经费，提高科研经费使用效益。不得违反规定转拨、转移科研经费，购买与科研活动无关的设备、材料。不得虚构项目支出、使用虚假票据套取科研经费。不得虚列、虚报、冒领科研劳务费，用科研经费报销个人家庭消费支出。不得用科研经费从事投资、办企业等违规经营活动。不得隐匿、私自转让、非法占有学校用科研经费形成的固定资产和无形资产。不得借科研协作之名将科研经费挪作它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仿宋_GB2312" w:hAnsi="仿宋_GB2312" w:eastAsia="仿宋_GB2312" w:cs="仿宋_GB2312"/>
          <w:i w:val="0"/>
          <w:caps w:val="0"/>
          <w:color w:val="4B4B4B"/>
          <w:spacing w:val="0"/>
          <w:sz w:val="28"/>
          <w:szCs w:val="28"/>
        </w:rPr>
      </w:pPr>
      <w:r>
        <w:rPr>
          <w:rFonts w:hint="eastAsia" w:ascii="仿宋_GB2312" w:hAnsi="仿宋_GB2312" w:eastAsia="仿宋_GB2312" w:cs="仿宋_GB2312"/>
          <w:i w:val="0"/>
          <w:caps w:val="0"/>
          <w:color w:val="4B4B4B"/>
          <w:spacing w:val="0"/>
          <w:sz w:val="28"/>
          <w:szCs w:val="28"/>
          <w:bdr w:val="none" w:color="auto" w:sz="0" w:space="0"/>
          <w:shd w:val="clear" w:fill="FFFFFF"/>
        </w:rPr>
        <w:t>　　9．科研人员在学术评价和学术评审活动中，要坚持科学标准，遵循客观、公正原则，如实反映评价对象的质量和水平，若与被评对象存在利益关系，要及时主动说明并回避。不得在学术评价或学术评审活动中徇私舞弊，接受可能影响客观公正的礼金和各种有价证券、支付凭证。不得泄露评审信息，散布不实评审信息，利用评审工作或掌握的评审信息谋取利益，从事不正当交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仿宋_GB2312" w:hAnsi="仿宋_GB2312" w:eastAsia="仿宋_GB2312" w:cs="仿宋_GB2312"/>
          <w:i w:val="0"/>
          <w:caps w:val="0"/>
          <w:color w:val="4B4B4B"/>
          <w:spacing w:val="0"/>
          <w:sz w:val="28"/>
          <w:szCs w:val="28"/>
        </w:rPr>
      </w:pPr>
      <w:r>
        <w:rPr>
          <w:rFonts w:hint="eastAsia" w:ascii="仿宋_GB2312" w:hAnsi="仿宋_GB2312" w:eastAsia="仿宋_GB2312" w:cs="仿宋_GB2312"/>
          <w:i w:val="0"/>
          <w:caps w:val="0"/>
          <w:color w:val="4B4B4B"/>
          <w:spacing w:val="0"/>
          <w:sz w:val="28"/>
          <w:szCs w:val="28"/>
          <w:bdr w:val="none" w:color="auto" w:sz="0" w:space="0"/>
          <w:shd w:val="clear" w:fill="FFFFFF"/>
        </w:rPr>
        <w:t>　　10．项目负责人要模范遵守相关法律法规和规章制度，对项目申报、执行和科研经费使用的合规性、合理性、真实性、相关性负直接责任，在项目申报、实施和结项等环节，主动向管理部门说明与科研活动利益关联和利益冲突情况，自觉接受监督。要加强对所带领科研团队、所承担项目的成员特别是青年人才的教育和管理，做到身体力行、言传身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仿宋_GB2312" w:hAnsi="仿宋_GB2312" w:eastAsia="仿宋_GB2312" w:cs="仿宋_GB2312"/>
          <w:i w:val="0"/>
          <w:caps w:val="0"/>
          <w:color w:val="4B4B4B"/>
          <w:spacing w:val="0"/>
          <w:sz w:val="28"/>
          <w:szCs w:val="28"/>
        </w:rPr>
      </w:pPr>
      <w:r>
        <w:rPr>
          <w:rFonts w:hint="eastAsia" w:ascii="仿宋_GB2312" w:hAnsi="仿宋_GB2312" w:eastAsia="仿宋_GB2312" w:cs="仿宋_GB2312"/>
          <w:i w:val="0"/>
          <w:caps w:val="0"/>
          <w:color w:val="4B4B4B"/>
          <w:spacing w:val="0"/>
          <w:sz w:val="28"/>
          <w:szCs w:val="28"/>
          <w:bdr w:val="none" w:color="auto" w:sz="0" w:space="0"/>
          <w:shd w:val="clear" w:fill="FFFFFF"/>
        </w:rPr>
        <w:t>　　</w:t>
      </w:r>
      <w:r>
        <w:rPr>
          <w:rStyle w:val="6"/>
          <w:rFonts w:hint="eastAsia" w:ascii="仿宋_GB2312" w:hAnsi="仿宋_GB2312" w:eastAsia="仿宋_GB2312" w:cs="仿宋_GB2312"/>
          <w:i w:val="0"/>
          <w:caps w:val="0"/>
          <w:color w:val="4B4B4B"/>
          <w:spacing w:val="0"/>
          <w:sz w:val="28"/>
          <w:szCs w:val="28"/>
          <w:bdr w:val="none" w:color="auto" w:sz="0" w:space="0"/>
          <w:shd w:val="clear" w:fill="FFFFFF"/>
        </w:rPr>
        <w:t>三、建立健全高校科研行为管理机制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仿宋_GB2312" w:hAnsi="仿宋_GB2312" w:eastAsia="仿宋_GB2312" w:cs="仿宋_GB2312"/>
          <w:i w:val="0"/>
          <w:caps w:val="0"/>
          <w:color w:val="4B4B4B"/>
          <w:spacing w:val="0"/>
          <w:sz w:val="28"/>
          <w:szCs w:val="28"/>
        </w:rPr>
      </w:pPr>
      <w:r>
        <w:rPr>
          <w:rFonts w:hint="eastAsia" w:ascii="仿宋_GB2312" w:hAnsi="仿宋_GB2312" w:eastAsia="仿宋_GB2312" w:cs="仿宋_GB2312"/>
          <w:i w:val="0"/>
          <w:caps w:val="0"/>
          <w:color w:val="4B4B4B"/>
          <w:spacing w:val="0"/>
          <w:sz w:val="28"/>
          <w:szCs w:val="28"/>
          <w:bdr w:val="none" w:color="auto" w:sz="0" w:space="0"/>
          <w:shd w:val="clear" w:fill="FFFFFF"/>
        </w:rPr>
        <w:t>　　11．坚持党管人才的原则，在高校党委的领导下，贯彻落实人才强国战略，把科研人才队伍建设纳入人才工作总体部署，不断完善科研行为管理制度和服务保障机制，激发科研人员的创新创造活力。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仿宋_GB2312" w:hAnsi="仿宋_GB2312" w:eastAsia="仿宋_GB2312" w:cs="仿宋_GB2312"/>
          <w:i w:val="0"/>
          <w:caps w:val="0"/>
          <w:color w:val="4B4B4B"/>
          <w:spacing w:val="0"/>
          <w:sz w:val="28"/>
          <w:szCs w:val="28"/>
        </w:rPr>
      </w:pPr>
      <w:r>
        <w:rPr>
          <w:rFonts w:hint="eastAsia" w:ascii="仿宋_GB2312" w:hAnsi="仿宋_GB2312" w:eastAsia="仿宋_GB2312" w:cs="仿宋_GB2312"/>
          <w:i w:val="0"/>
          <w:caps w:val="0"/>
          <w:color w:val="4B4B4B"/>
          <w:spacing w:val="0"/>
          <w:sz w:val="28"/>
          <w:szCs w:val="28"/>
          <w:bdr w:val="none" w:color="auto" w:sz="0" w:space="0"/>
          <w:shd w:val="clear" w:fill="FFFFFF"/>
        </w:rPr>
        <w:t>　　12．坚持高校党委对重大科研项目和重大科研经费的监管，强化责任意识，完善责任体系，健全科技资源配置机制、科研活动内控机制。校长要认真履行法人代表责任，指导督促分管科研、财务工作的校领导，加强对科研行为的管理。分管科研、财务工作的校领导要切实担负起对科研活动督促引导和对科研经费监督管理的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仿宋_GB2312" w:hAnsi="仿宋_GB2312" w:eastAsia="仿宋_GB2312" w:cs="仿宋_GB2312"/>
          <w:i w:val="0"/>
          <w:caps w:val="0"/>
          <w:color w:val="4B4B4B"/>
          <w:spacing w:val="0"/>
          <w:sz w:val="28"/>
          <w:szCs w:val="28"/>
        </w:rPr>
      </w:pPr>
      <w:r>
        <w:rPr>
          <w:rFonts w:hint="eastAsia" w:ascii="仿宋_GB2312" w:hAnsi="仿宋_GB2312" w:eastAsia="仿宋_GB2312" w:cs="仿宋_GB2312"/>
          <w:i w:val="0"/>
          <w:caps w:val="0"/>
          <w:color w:val="4B4B4B"/>
          <w:spacing w:val="0"/>
          <w:sz w:val="28"/>
          <w:szCs w:val="28"/>
          <w:bdr w:val="none" w:color="auto" w:sz="0" w:space="0"/>
          <w:shd w:val="clear" w:fill="FFFFFF"/>
        </w:rPr>
        <w:t>　　13．高校科研、财务等职能部门，要增强管理和服务意识，认真履行监管职能，加强对科研人员的服务、指导、管理、监督，对科研人员申报的合作（外协）项目，要按项目管理规定严格审核把关。学院（系、所、中心、研究院等）作为科研活动基层管理单位，要认真履行对本单位科研行为的监管责任，对项目执行、经费使用等情况予以指导和监督。审计、纪检监察部门要加强对重大科研项目执行、科研经费使用、科研人员从业行为的监督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仿宋_GB2312" w:hAnsi="仿宋_GB2312" w:eastAsia="仿宋_GB2312" w:cs="仿宋_GB2312"/>
          <w:i w:val="0"/>
          <w:caps w:val="0"/>
          <w:color w:val="4B4B4B"/>
          <w:spacing w:val="0"/>
          <w:sz w:val="28"/>
          <w:szCs w:val="28"/>
        </w:rPr>
      </w:pPr>
      <w:r>
        <w:rPr>
          <w:rFonts w:hint="eastAsia" w:ascii="仿宋_GB2312" w:hAnsi="仿宋_GB2312" w:eastAsia="仿宋_GB2312" w:cs="仿宋_GB2312"/>
          <w:i w:val="0"/>
          <w:caps w:val="0"/>
          <w:color w:val="4B4B4B"/>
          <w:spacing w:val="0"/>
          <w:sz w:val="28"/>
          <w:szCs w:val="28"/>
          <w:bdr w:val="none" w:color="auto" w:sz="0" w:space="0"/>
          <w:shd w:val="clear" w:fill="FFFFFF"/>
        </w:rPr>
        <w:t>　　14．高校学术委员会、学位评定委员会、学风建设委员会应充分发挥在学术评价、学术发展、学风建设中的重要作用，完善工作规程，积极开展学术规范和科研诚信宣传教育。学校科研机构和学术团队要加强团队管理，完善自我约束、自我管理机制。学校要为学术组织有序有效开展工作提供支持和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仿宋_GB2312" w:hAnsi="仿宋_GB2312" w:eastAsia="仿宋_GB2312" w:cs="仿宋_GB2312"/>
          <w:i w:val="0"/>
          <w:caps w:val="0"/>
          <w:color w:val="4B4B4B"/>
          <w:spacing w:val="0"/>
          <w:sz w:val="28"/>
          <w:szCs w:val="28"/>
        </w:rPr>
      </w:pPr>
      <w:r>
        <w:rPr>
          <w:rFonts w:hint="eastAsia" w:ascii="仿宋_GB2312" w:hAnsi="仿宋_GB2312" w:eastAsia="仿宋_GB2312" w:cs="仿宋_GB2312"/>
          <w:i w:val="0"/>
          <w:caps w:val="0"/>
          <w:color w:val="4B4B4B"/>
          <w:spacing w:val="0"/>
          <w:sz w:val="28"/>
          <w:szCs w:val="28"/>
          <w:bdr w:val="none" w:color="auto" w:sz="0" w:space="0"/>
          <w:shd w:val="clear" w:fill="FFFFFF"/>
        </w:rPr>
        <w:t>　　15．高校要把教育引导作为规范科研行为、促进科研人员廉洁从业的基础，加强对科研人员职业素养和诚信教育，弘扬良好学风，不断提高科研人员思想政治素质和业务素质。加大违法违纪案件通报力度，加强警示教育、示范教育，增强科研人员廉洁从业意识。建立健全科研人员培训制度，将法律法规、廉洁从业培训纳入教师岗位培训和职业培训之中，完善培训内容，创新培训形式，建立培训档案，增强培训实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仿宋_GB2312" w:hAnsi="仿宋_GB2312" w:eastAsia="仿宋_GB2312" w:cs="仿宋_GB2312"/>
          <w:i w:val="0"/>
          <w:caps w:val="0"/>
          <w:color w:val="4B4B4B"/>
          <w:spacing w:val="0"/>
          <w:sz w:val="28"/>
          <w:szCs w:val="28"/>
        </w:rPr>
      </w:pPr>
      <w:r>
        <w:rPr>
          <w:rFonts w:hint="eastAsia" w:ascii="仿宋_GB2312" w:hAnsi="仿宋_GB2312" w:eastAsia="仿宋_GB2312" w:cs="仿宋_GB2312"/>
          <w:i w:val="0"/>
          <w:caps w:val="0"/>
          <w:color w:val="4B4B4B"/>
          <w:spacing w:val="0"/>
          <w:sz w:val="28"/>
          <w:szCs w:val="28"/>
          <w:bdr w:val="none" w:color="auto" w:sz="0" w:space="0"/>
          <w:shd w:val="clear" w:fill="FFFFFF"/>
        </w:rPr>
        <w:t>　　16. 高校要加强科研文化建设，把科研文化建设作为大学文化传承创新的重要动力，大力培育崇尚科学、追求真理的思想理念，包容并蓄、宽松和谐的学术环境，诚实守信、风清气正的文化氛围。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仿宋_GB2312" w:hAnsi="仿宋_GB2312" w:eastAsia="仿宋_GB2312" w:cs="仿宋_GB2312"/>
          <w:i w:val="0"/>
          <w:caps w:val="0"/>
          <w:color w:val="4B4B4B"/>
          <w:spacing w:val="0"/>
          <w:sz w:val="28"/>
          <w:szCs w:val="28"/>
        </w:rPr>
      </w:pPr>
      <w:r>
        <w:rPr>
          <w:rFonts w:hint="eastAsia" w:ascii="仿宋_GB2312" w:hAnsi="仿宋_GB2312" w:eastAsia="仿宋_GB2312" w:cs="仿宋_GB2312"/>
          <w:i w:val="0"/>
          <w:caps w:val="0"/>
          <w:color w:val="4B4B4B"/>
          <w:spacing w:val="0"/>
          <w:sz w:val="28"/>
          <w:szCs w:val="28"/>
          <w:bdr w:val="none" w:color="auto" w:sz="0" w:space="0"/>
          <w:shd w:val="clear" w:fill="FFFFFF"/>
        </w:rPr>
        <w:t>　　17．高校要建立健全科研人员考核评价体系，建立科研诚信档案制度，及时准确记录科研人员从业行为，将廉洁从业情况纳入对科研人员考核的重要内容，考核结果作为对教学科研人员专业技术职务评聘、奖惩的重要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仿宋_GB2312" w:hAnsi="仿宋_GB2312" w:eastAsia="仿宋_GB2312" w:cs="仿宋_GB2312"/>
          <w:i w:val="0"/>
          <w:caps w:val="0"/>
          <w:color w:val="4B4B4B"/>
          <w:spacing w:val="0"/>
          <w:sz w:val="28"/>
          <w:szCs w:val="28"/>
        </w:rPr>
      </w:pPr>
      <w:r>
        <w:rPr>
          <w:rFonts w:hint="eastAsia" w:ascii="仿宋_GB2312" w:hAnsi="仿宋_GB2312" w:eastAsia="仿宋_GB2312" w:cs="仿宋_GB2312"/>
          <w:i w:val="0"/>
          <w:caps w:val="0"/>
          <w:color w:val="4B4B4B"/>
          <w:spacing w:val="0"/>
          <w:sz w:val="28"/>
          <w:szCs w:val="28"/>
          <w:bdr w:val="none" w:color="auto" w:sz="0" w:space="0"/>
          <w:shd w:val="clear" w:fill="FFFFFF"/>
        </w:rPr>
        <w:t>　　</w:t>
      </w:r>
      <w:r>
        <w:rPr>
          <w:rStyle w:val="6"/>
          <w:rFonts w:hint="eastAsia" w:ascii="仿宋_GB2312" w:hAnsi="仿宋_GB2312" w:eastAsia="仿宋_GB2312" w:cs="仿宋_GB2312"/>
          <w:i w:val="0"/>
          <w:caps w:val="0"/>
          <w:color w:val="4B4B4B"/>
          <w:spacing w:val="0"/>
          <w:sz w:val="28"/>
          <w:szCs w:val="28"/>
          <w:bdr w:val="none" w:color="auto" w:sz="0" w:space="0"/>
          <w:shd w:val="clear" w:fill="FFFFFF"/>
        </w:rPr>
        <w:t>四、依法惩处高校科研违法违纪行为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仿宋_GB2312" w:hAnsi="仿宋_GB2312" w:eastAsia="仿宋_GB2312" w:cs="仿宋_GB2312"/>
          <w:i w:val="0"/>
          <w:caps w:val="0"/>
          <w:color w:val="4B4B4B"/>
          <w:spacing w:val="0"/>
          <w:sz w:val="28"/>
          <w:szCs w:val="28"/>
        </w:rPr>
      </w:pPr>
      <w:r>
        <w:rPr>
          <w:rFonts w:hint="eastAsia" w:ascii="仿宋_GB2312" w:hAnsi="仿宋_GB2312" w:eastAsia="仿宋_GB2312" w:cs="仿宋_GB2312"/>
          <w:i w:val="0"/>
          <w:caps w:val="0"/>
          <w:color w:val="4B4B4B"/>
          <w:spacing w:val="0"/>
          <w:sz w:val="28"/>
          <w:szCs w:val="28"/>
          <w:bdr w:val="none" w:color="auto" w:sz="0" w:space="0"/>
          <w:shd w:val="clear" w:fill="FFFFFF"/>
        </w:rPr>
        <w:t>　　18．高校要完善学术不端行为的查处机制，严肃查处科研活动中的违规违纪违法行为。对于违反科研行为规范的，视情节轻重，给予约谈警示、通报批评、暂停项目执行和项目拨款、责令整改、终止项目执行和项目拨款直至限制项目申报资格等处理。构成违纪的，依据《事业单位工作人员处分暂行规定》、《财政违法行为处罚处分条例》，视情节轻重给予警告、记过、降低岗位等级或撤职、开除等处分。涉嫌犯罪的，移送司法机关依法追究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仿宋_GB2312" w:hAnsi="仿宋_GB2312" w:eastAsia="仿宋_GB2312" w:cs="仿宋_GB2312"/>
          <w:i w:val="0"/>
          <w:caps w:val="0"/>
          <w:color w:val="4B4B4B"/>
          <w:spacing w:val="0"/>
          <w:sz w:val="28"/>
          <w:szCs w:val="28"/>
        </w:rPr>
      </w:pPr>
      <w:r>
        <w:rPr>
          <w:rFonts w:hint="eastAsia" w:ascii="仿宋_GB2312" w:hAnsi="仿宋_GB2312" w:eastAsia="仿宋_GB2312" w:cs="仿宋_GB2312"/>
          <w:i w:val="0"/>
          <w:caps w:val="0"/>
          <w:color w:val="4B4B4B"/>
          <w:spacing w:val="0"/>
          <w:sz w:val="28"/>
          <w:szCs w:val="28"/>
          <w:bdr w:val="none" w:color="auto" w:sz="0" w:space="0"/>
          <w:shd w:val="clear" w:fill="FFFFFF"/>
        </w:rPr>
        <w:t>　　19．高校各级领导特别是主要负责人，要切实履行对科研人员的服务和科研活动的监管职责，加强服务保障、教育引导、监督管理，确保科研工作健康发展。因未能正确履行监管责任，发生科研人员重大违法违纪问题被依法判处刑罚的，参照《关于实行党政领导干部问责的暂行规定》，追究责任单位和有关领导、管理人员的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仿宋_GB2312" w:hAnsi="仿宋_GB2312" w:eastAsia="仿宋_GB2312" w:cs="仿宋_GB2312"/>
          <w:i w:val="0"/>
          <w:caps w:val="0"/>
          <w:color w:val="4B4B4B"/>
          <w:spacing w:val="0"/>
          <w:sz w:val="28"/>
          <w:szCs w:val="28"/>
        </w:rPr>
      </w:pPr>
      <w:r>
        <w:rPr>
          <w:rFonts w:hint="eastAsia" w:ascii="仿宋_GB2312" w:hAnsi="仿宋_GB2312" w:eastAsia="仿宋_GB2312" w:cs="仿宋_GB2312"/>
          <w:i w:val="0"/>
          <w:caps w:val="0"/>
          <w:color w:val="4B4B4B"/>
          <w:spacing w:val="0"/>
          <w:sz w:val="28"/>
          <w:szCs w:val="28"/>
          <w:bdr w:val="none" w:color="auto" w:sz="0" w:space="0"/>
          <w:shd w:val="clear" w:fill="FFFFFF"/>
          <w:lang w:val="en-US" w:eastAsia="zh-CN"/>
        </w:rPr>
        <w:t xml:space="preserve">                                        </w:t>
      </w:r>
      <w:r>
        <w:rPr>
          <w:rFonts w:hint="eastAsia" w:ascii="仿宋_GB2312" w:hAnsi="仿宋_GB2312" w:eastAsia="仿宋_GB2312" w:cs="仿宋_GB2312"/>
          <w:i w:val="0"/>
          <w:caps w:val="0"/>
          <w:color w:val="4B4B4B"/>
          <w:spacing w:val="0"/>
          <w:sz w:val="28"/>
          <w:szCs w:val="28"/>
          <w:bdr w:val="none" w:color="auto" w:sz="0" w:space="0"/>
          <w:shd w:val="clear" w:fill="FFFFFF"/>
        </w:rPr>
        <w:t>教育部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right"/>
        <w:rPr>
          <w:rFonts w:hint="eastAsia" w:ascii="仿宋_GB2312" w:hAnsi="仿宋_GB2312" w:eastAsia="仿宋_GB2312" w:cs="仿宋_GB2312"/>
          <w:i w:val="0"/>
          <w:caps w:val="0"/>
          <w:color w:val="4B4B4B"/>
          <w:spacing w:val="0"/>
          <w:sz w:val="28"/>
          <w:szCs w:val="28"/>
        </w:rPr>
      </w:pPr>
      <w:r>
        <w:rPr>
          <w:rFonts w:hint="eastAsia" w:ascii="仿宋_GB2312" w:hAnsi="仿宋_GB2312" w:eastAsia="仿宋_GB2312" w:cs="仿宋_GB2312"/>
          <w:i w:val="0"/>
          <w:caps w:val="0"/>
          <w:color w:val="4B4B4B"/>
          <w:spacing w:val="0"/>
          <w:sz w:val="28"/>
          <w:szCs w:val="28"/>
          <w:bdr w:val="none" w:color="auto" w:sz="0" w:space="0"/>
          <w:shd w:val="clear" w:fill="FFFFFF"/>
        </w:rPr>
        <w:t>2012年12月18日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